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3587"/>
        <w:gridCol w:w="1916"/>
        <w:gridCol w:w="352"/>
      </w:tblGrid>
      <w:tr>
        <w:trPr>
          <w:trHeight w:val="291" w:hRule="atLeast"/>
        </w:trPr>
        <w:tc>
          <w:tcPr>
            <w:tcW w:w="3315" w:type="dxa"/>
          </w:tcPr>
          <w:p>
            <w:pPr>
              <w:pStyle w:val="TableParagraph"/>
              <w:tabs>
                <w:tab w:pos="1432" w:val="left" w:leader="none"/>
                <w:tab w:pos="2632" w:val="left" w:leader="none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ZAŠTITA</w:t>
              <w:tab/>
              <w:t>PRAVA</w:t>
              <w:tab/>
              <w:t>NA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1592" w:val="left" w:leader="none"/>
              </w:tabs>
              <w:spacing w:line="266" w:lineRule="exact"/>
              <w:ind w:left="49"/>
              <w:rPr>
                <w:sz w:val="24"/>
              </w:rPr>
            </w:pPr>
            <w:r>
              <w:rPr>
                <w:sz w:val="24"/>
              </w:rPr>
              <w:t>LOKALNU</w:t>
              <w:tab/>
              <w:t>SAMOUPRAVU,</w:t>
            </w:r>
          </w:p>
        </w:tc>
        <w:tc>
          <w:tcPr>
            <w:tcW w:w="1916" w:type="dxa"/>
          </w:tcPr>
          <w:p>
            <w:pPr>
              <w:pStyle w:val="TableParagraph"/>
              <w:spacing w:line="266" w:lineRule="exact"/>
              <w:ind w:left="82" w:right="109"/>
              <w:jc w:val="center"/>
              <w:rPr>
                <w:sz w:val="24"/>
              </w:rPr>
            </w:pPr>
            <w:r>
              <w:rPr>
                <w:sz w:val="24"/>
              </w:rPr>
              <w:t>REGULIRANJE</w:t>
            </w:r>
          </w:p>
        </w:tc>
        <w:tc>
          <w:tcPr>
            <w:tcW w:w="352" w:type="dxa"/>
          </w:tcPr>
          <w:p>
            <w:pPr>
              <w:pStyle w:val="TableParagraph"/>
              <w:spacing w:line="266" w:lineRule="exact"/>
              <w:ind w:right="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>
        <w:trPr>
          <w:trHeight w:val="291" w:hRule="atLeast"/>
        </w:trPr>
        <w:tc>
          <w:tcPr>
            <w:tcW w:w="3315" w:type="dxa"/>
          </w:tcPr>
          <w:p>
            <w:pPr>
              <w:pStyle w:val="TableParagraph"/>
              <w:tabs>
                <w:tab w:pos="2375" w:val="left" w:leader="none"/>
              </w:tabs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FUNKCIONIRANJE</w:t>
              <w:tab/>
              <w:t>OPĆINA</w:t>
            </w:r>
          </w:p>
        </w:tc>
        <w:tc>
          <w:tcPr>
            <w:tcW w:w="3587" w:type="dxa"/>
          </w:tcPr>
          <w:p>
            <w:pPr>
              <w:pStyle w:val="TableParagraph"/>
              <w:tabs>
                <w:tab w:pos="990" w:val="left" w:leader="none"/>
                <w:tab w:pos="2329" w:val="left" w:leader="none"/>
              </w:tabs>
              <w:spacing w:before="15"/>
              <w:ind w:left="210"/>
              <w:rPr>
                <w:sz w:val="24"/>
              </w:rPr>
            </w:pPr>
            <w:r>
              <w:rPr>
                <w:sz w:val="24"/>
              </w:rPr>
              <w:t>KAO</w:t>
              <w:tab/>
              <w:t>JEDINICA</w:t>
              <w:tab/>
              <w:t>LOKALNE</w:t>
            </w:r>
          </w:p>
        </w:tc>
        <w:tc>
          <w:tcPr>
            <w:tcW w:w="1916" w:type="dxa"/>
          </w:tcPr>
          <w:p>
            <w:pPr>
              <w:pStyle w:val="TableParagraph"/>
              <w:spacing w:before="15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SAMOUPRAVE</w:t>
            </w:r>
          </w:p>
        </w:tc>
        <w:tc>
          <w:tcPr>
            <w:tcW w:w="352" w:type="dxa"/>
          </w:tcPr>
          <w:p>
            <w:pPr>
              <w:pStyle w:val="TableParagraph"/>
              <w:spacing w:before="15"/>
              <w:ind w:right="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</w:tr>
    </w:tbl>
    <w:p>
      <w:pPr>
        <w:pStyle w:val="BodyText"/>
        <w:spacing w:before="41"/>
        <w:ind w:left="156"/>
      </w:pPr>
      <w:r>
        <w:rPr/>
        <w:t>FEDERACIJI BOSNE I HERCEGOVINE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  <w:spacing w:before="1"/>
      </w:pPr>
      <w:r>
        <w:rPr/>
        <w:t>SAŽETAK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76" w:lineRule="auto"/>
        <w:ind w:left="156" w:right="148"/>
        <w:jc w:val="both"/>
      </w:pPr>
      <w:r>
        <w:rPr/>
        <w:t>U disertaciji se elaborira institut lokalne samouprave sa različitih aspekata. Obrađuje se pojam lokalne samouprave u teoretskom i normativnom pogledu, načela, sadržaj i smisao lokalne samouprave u najznačajnijim međunarodnim i domaćim aktima (Europska povelja o lokalnoj samoupravi, preporuke Komiteta ministara, Ustav Bosne i Hercegovine, Ustav Federacije Bosne i Hercegovine i ustavi kantona, Zakon o principima lokalne samouprave u Federaciji Bosne i Hercegovine i druga zakonska i podzakonska regulativa).</w:t>
      </w:r>
    </w:p>
    <w:p>
      <w:pPr>
        <w:pStyle w:val="BodyText"/>
        <w:spacing w:line="276" w:lineRule="auto" w:before="201"/>
        <w:ind w:left="156" w:right="149"/>
        <w:jc w:val="both"/>
      </w:pPr>
      <w:r>
        <w:rPr/>
        <w:t>Daje se pregled lokalne samouprave općenito u Europskoj uniji i detaljnije u nekoliko država članica Europske unije.</w:t>
      </w:r>
    </w:p>
    <w:p>
      <w:pPr>
        <w:pStyle w:val="BodyText"/>
        <w:spacing w:line="276" w:lineRule="auto" w:before="198"/>
        <w:ind w:left="156" w:right="151"/>
        <w:jc w:val="both"/>
      </w:pPr>
      <w:r>
        <w:rPr/>
        <w:t>Posebna pažnja posvećena je nastanku i razvoju lokalne samouprave u Bosni i Hercegovini, ustavnom položaju i nadležnostima jedinica lokalne samouprave u Federaciji Bosne i Hercegovine. Pored toga, istraživanje je fokusirano na e-upravu, na organizaciju i funkcioniranje jedinica lokalne samouprave kao i ustavnosudsku zaštitu prava na lokalnu samoupravu. Na kraju, dat je osvrt na pitanje regionalizacije te značaja i perspektive lokalne samouprave u Federaciji Bosne i Hercegovine.</w:t>
      </w:r>
    </w:p>
    <w:p>
      <w:pPr>
        <w:pStyle w:val="BodyText"/>
        <w:spacing w:line="276" w:lineRule="auto" w:before="200"/>
        <w:ind w:left="155" w:right="149"/>
        <w:jc w:val="both"/>
      </w:pPr>
      <w:r>
        <w:rPr>
          <w:b/>
        </w:rPr>
        <w:t>Ključne riječi</w:t>
      </w:r>
      <w:r>
        <w:rPr/>
        <w:t>: lokalna samouprava, autopoiesis, supsidijarnost, decentralizacija, Europska povelja o lokalnoj samoupravi, e-uprava, zaštita prava na lokalnu samoupravu, općina, Federacija BiH.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00" w:h="16840"/>
          <w:pgMar w:header="1421" w:top="1680" w:bottom="28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156" w:right="149"/>
        <w:jc w:val="both"/>
      </w:pPr>
      <w:r>
        <w:rPr/>
        <w:t>PROTECTION OF THE LOCAL SELF-GOVERNMENT RIGHT, REGULATION AND FUNCTIONING OF MUNICIPALITIES AS LOCAL SELF-GOVERNMENT UNITS IN FEDERATION OF BOSNIA AND HERZEGOVINA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jc w:val="both"/>
      </w:pPr>
      <w:r>
        <w:rPr/>
        <w:t>SUMMARY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56"/>
        <w:jc w:val="both"/>
      </w:pPr>
      <w:r>
        <w:rPr/>
        <w:t>The institution of local self-government is elaborated from various angles in the dissertation.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56" w:right="147"/>
        <w:jc w:val="both"/>
      </w:pPr>
      <w:r>
        <w:rPr/>
        <w:t>The term of local self-government in theoretical and normative view, principles, content and meaning of local self-government in light of the most significant international and domestic acts (European charter on local self-government, recommendations of Committee of ministers, Constitutions of Bosnia and Herzegovina, Constitution of Federation of Bosnia and Herzegovina and constitutions of cantons, Law on principles of local self-government in Federation of Bosnia and Herzegovina and other lawful and executive regulations are elaborated.</w:t>
      </w:r>
    </w:p>
    <w:p>
      <w:pPr>
        <w:pStyle w:val="BodyText"/>
        <w:spacing w:line="276" w:lineRule="auto" w:before="200"/>
        <w:ind w:left="156" w:right="149"/>
        <w:jc w:val="both"/>
      </w:pPr>
      <w:r>
        <w:rPr/>
        <w:t>Review of local self-government in European Union in general, and a more detailed review of local self-government in a few member states of European Union is provided.</w:t>
      </w:r>
    </w:p>
    <w:p>
      <w:pPr>
        <w:pStyle w:val="BodyText"/>
        <w:spacing w:line="276" w:lineRule="auto" w:before="201"/>
        <w:ind w:left="156" w:right="148"/>
        <w:jc w:val="both"/>
      </w:pPr>
      <w:r>
        <w:rPr/>
        <w:t>Creation and development of local self-government in Bosnia and Herzegovina, constitutional status and authorities of local self-government units in Federation of Bosnia and Herzegovina are given special attention.</w:t>
      </w:r>
    </w:p>
    <w:p>
      <w:pPr>
        <w:pStyle w:val="BodyText"/>
        <w:spacing w:line="276" w:lineRule="auto" w:before="200"/>
        <w:ind w:left="155" w:right="151"/>
        <w:jc w:val="both"/>
      </w:pPr>
      <w:r>
        <w:rPr/>
        <w:t>In addition e-Government, organization and functioning of local self-government units as well as protection of local self-government rights by the constitutional court were the focus of research.</w:t>
      </w:r>
    </w:p>
    <w:p>
      <w:pPr>
        <w:pStyle w:val="BodyText"/>
        <w:spacing w:line="276" w:lineRule="auto" w:before="199"/>
        <w:ind w:left="155" w:right="149"/>
        <w:jc w:val="both"/>
      </w:pPr>
      <w:r>
        <w:rPr/>
        <w:t>In the end the question of regionalization as well as importance and perspective of local self- government in Federation of Bosnia and Herzegovina is overviewed.</w:t>
      </w:r>
    </w:p>
    <w:p>
      <w:pPr>
        <w:pStyle w:val="BodyText"/>
        <w:spacing w:line="276" w:lineRule="auto" w:before="201"/>
        <w:ind w:left="155" w:right="152"/>
        <w:jc w:val="both"/>
      </w:pPr>
      <w:r>
        <w:rPr>
          <w:b/>
        </w:rPr>
        <w:t>Keywords</w:t>
      </w:r>
      <w:r>
        <w:rPr/>
        <w:t>: local self-government, </w:t>
      </w:r>
      <w:r>
        <w:rPr>
          <w:color w:val="212121"/>
        </w:rPr>
        <w:t>autopoiesis, subsidiarity, decentralization, the </w:t>
      </w:r>
      <w:r>
        <w:rPr/>
        <w:t>European Charter of Local Self-Government, e-Government, protection of the local self-government right, municipality, Federation of Bosnia and Herzegovina.</w:t>
      </w:r>
    </w:p>
    <w:sectPr>
      <w:pgSz w:w="11900" w:h="16840"/>
      <w:pgMar w:header="1421" w:footer="0" w:top="168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70.026642pt;width:120.9pt;height:15.3pt;mso-position-horizontal-relative:page;mso-position-vertical-relative:page;z-index:-3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Mr. sc. JASMIN HUŠIĆ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title>(Microsoft Word - ZA−TITA PRAVA NA LOKALNU SAMOUPRAVU-J. HUıiæ)</dc:title>
  <dcterms:created xsi:type="dcterms:W3CDTF">2018-04-05T11:41:30Z</dcterms:created>
  <dcterms:modified xsi:type="dcterms:W3CDTF">2018-04-05T11:41:30Z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2018-04-05T00:00:00Z</vt:filetime>
  </property>
</Properties>
</file>